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seeking payment of the cost of the contract work</w:t>
      </w:r>
    </w:p>
    <w:p w:rsidR="00000000" w:rsidDel="00000000" w:rsidP="00000000" w:rsidRDefault="00000000" w:rsidRPr="00000000" w14:paraId="00000002">
      <w:pPr>
        <w:rPr>
          <w:rFonts w:ascii="EB Garamond Medium" w:cs="EB Garamond Medium" w:eastAsia="EB Garamond Medium" w:hAnsi="EB Garamond Medium"/>
          <w:sz w:val="24"/>
          <w:szCs w:val="24"/>
        </w:rPr>
      </w:pPr>
      <w:hyperlink r:id="rId6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u w:val="single"/>
            <w:rtl w:val="0"/>
          </w:rPr>
          <w:t xml:space="preserve">Details of 2019 (Ju) 61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seeking the revocation of dispositions of notice, etc.</w:t>
      </w:r>
    </w:p>
    <w:p w:rsidR="00000000" w:rsidDel="00000000" w:rsidP="00000000" w:rsidRDefault="00000000" w:rsidRPr="00000000" w14:paraId="00000004">
      <w:pPr>
        <w:ind w:left="720" w:firstLine="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Court: </w:t>
      </w:r>
    </w:p>
    <w:p w:rsidR="00000000" w:rsidDel="00000000" w:rsidP="00000000" w:rsidRDefault="00000000" w:rsidRPr="00000000" w14:paraId="00000005">
      <w:pPr>
        <w:rPr>
          <w:rFonts w:ascii="EB Garamond Medium" w:cs="EB Garamond Medium" w:eastAsia="EB Garamond Medium" w:hAnsi="EB Garamond Medium"/>
          <w:sz w:val="24"/>
          <w:szCs w:val="24"/>
        </w:rPr>
      </w:pPr>
      <w:hyperlink r:id="rId7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u w:val="single"/>
            <w:rtl w:val="0"/>
          </w:rPr>
          <w:t xml:space="preserve">Details of 2019 (Gyo-Hi) 61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of appeal with permission against a decision to dismiss an appeal against a disposition of execution against a decision to revoke an order to attach shares</w:t>
      </w:r>
    </w:p>
    <w:p w:rsidR="00000000" w:rsidDel="00000000" w:rsidP="00000000" w:rsidRDefault="00000000" w:rsidRPr="00000000" w14:paraId="00000007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8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2017 (Kyo) 13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claiming delivery of an automobile</w:t>
      </w:r>
    </w:p>
    <w:p w:rsidR="00000000" w:rsidDel="00000000" w:rsidP="00000000" w:rsidRDefault="00000000" w:rsidRPr="00000000" w14:paraId="00000009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9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2017 (Ju) 408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of appeal with permission against the court of second instance’s decision to revoke an order to cease and desist from procedural acts of counsel</w:t>
      </w:r>
    </w:p>
    <w:p w:rsidR="00000000" w:rsidDel="00000000" w:rsidP="00000000" w:rsidRDefault="00000000" w:rsidRPr="00000000" w14:paraId="0000000B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10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2017 (Kyo) 6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of appeal with permission against a ruling of revocation on appeal against a ruling to dismiss an objection to a distribution list</w:t>
      </w:r>
    </w:p>
    <w:p w:rsidR="00000000" w:rsidDel="00000000" w:rsidP="00000000" w:rsidRDefault="00000000" w:rsidRPr="00000000" w14:paraId="0000000D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11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2017 (Kyo) 3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to seek a declaratory judgment of the nonexistence of an obligation, etc., with a counterclaim to seek return of unjust enrichment</w:t>
      </w:r>
    </w:p>
    <w:p w:rsidR="00000000" w:rsidDel="00000000" w:rsidP="00000000" w:rsidRDefault="00000000" w:rsidRPr="00000000" w14:paraId="0000000F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12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2015 (Ju) 330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to seek return of unjust enrichment, etc.</w:t>
      </w:r>
    </w:p>
    <w:p w:rsidR="00000000" w:rsidDel="00000000" w:rsidP="00000000" w:rsidRDefault="00000000" w:rsidRPr="00000000" w14:paraId="00000011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13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2012 (Ju) 2007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of opposition to liquidating distribution</w:t>
      </w:r>
    </w:p>
    <w:p w:rsidR="00000000" w:rsidDel="00000000" w:rsidP="00000000" w:rsidRDefault="00000000" w:rsidRPr="00000000" w14:paraId="00000013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14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2012 (Ju) 880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to seek the grant of a certificate of execution</w:t>
      </w:r>
    </w:p>
    <w:p w:rsidR="00000000" w:rsidDel="00000000" w:rsidP="00000000" w:rsidRDefault="00000000" w:rsidRPr="00000000" w14:paraId="00000015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15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2013 (Ju) 419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to seek refund of deposit</w:t>
      </w:r>
    </w:p>
    <w:p w:rsidR="00000000" w:rsidDel="00000000" w:rsidP="00000000" w:rsidRDefault="00000000" w:rsidRPr="00000000" w14:paraId="00000017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16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2009 (Ju) 1567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to seek payment of a claim for reimbursement, etc.</w:t>
      </w:r>
    </w:p>
    <w:p w:rsidR="00000000" w:rsidDel="00000000" w:rsidP="00000000" w:rsidRDefault="00000000" w:rsidRPr="00000000" w14:paraId="00000019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17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2010 (Ju) 78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to seek a declaration of the nonexistence of the withholding liability</w:t>
      </w:r>
    </w:p>
    <w:p w:rsidR="00000000" w:rsidDel="00000000" w:rsidP="00000000" w:rsidRDefault="00000000" w:rsidRPr="00000000" w14:paraId="0000001B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18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2008 (Gyo-Tsu) 236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of an action to oppose bankruptcy claim assessment</w:t>
      </w:r>
    </w:p>
    <w:p w:rsidR="00000000" w:rsidDel="00000000" w:rsidP="00000000" w:rsidRDefault="00000000" w:rsidRPr="00000000" w14:paraId="0000001D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19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2008 (Ju) 1202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r w:rsidDel="00000000" w:rsidR="00000000" w:rsidRPr="00000000">
        <w:rPr>
          <w:rFonts w:ascii="EB Garamond Medium" w:cs="EB Garamond Medium" w:eastAsia="EB Garamond Medium" w:hAnsi="EB Garamond Medium"/>
          <w:sz w:val="24"/>
          <w:szCs w:val="24"/>
          <w:highlight w:val="white"/>
          <w:rtl w:val="0"/>
        </w:rPr>
        <w:t xml:space="preserve">Case Name: Case of appeal with permission against the decision to revoke the decision of confirmation of the rehabilitation plan</w:t>
      </w:r>
    </w:p>
    <w:p w:rsidR="00000000" w:rsidDel="00000000" w:rsidP="00000000" w:rsidRDefault="00000000" w:rsidRPr="00000000" w14:paraId="0000001F">
      <w:pPr>
        <w:rPr>
          <w:rFonts w:ascii="EB Garamond Medium" w:cs="EB Garamond Medium" w:eastAsia="EB Garamond Medium" w:hAnsi="EB Garamond Medium"/>
          <w:sz w:val="24"/>
          <w:szCs w:val="24"/>
          <w:highlight w:val="white"/>
        </w:rPr>
      </w:pPr>
      <w:hyperlink r:id="rId20">
        <w:r w:rsidDel="00000000" w:rsidR="00000000" w:rsidRPr="00000000">
          <w:rPr>
            <w:rFonts w:ascii="EB Garamond Medium" w:cs="EB Garamond Medium" w:eastAsia="EB Garamond Medium" w:hAnsi="EB Garamond Medium"/>
            <w:color w:val="1155cc"/>
            <w:sz w:val="24"/>
            <w:szCs w:val="24"/>
            <w:highlight w:val="white"/>
            <w:u w:val="single"/>
            <w:rtl w:val="0"/>
          </w:rPr>
          <w:t xml:space="preserve">Details of 2007 (Kyo) 24 | Judgments of the Supreme Court (courts.go.jp)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B Garamond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courts.go.jp/app/hanrei_en/detail?id=942" TargetMode="External"/><Relationship Id="rId11" Type="http://schemas.openxmlformats.org/officeDocument/2006/relationships/hyperlink" Target="https://www.courts.go.jp/app/hanrei_en/detail?id=1533" TargetMode="External"/><Relationship Id="rId10" Type="http://schemas.openxmlformats.org/officeDocument/2006/relationships/hyperlink" Target="https://www.courts.go.jp/app/hanrei_en/detail?id=1536" TargetMode="External"/><Relationship Id="rId13" Type="http://schemas.openxmlformats.org/officeDocument/2006/relationships/hyperlink" Target="https://www.courts.go.jp/app/hanrei_en/detail?id=1298" TargetMode="External"/><Relationship Id="rId12" Type="http://schemas.openxmlformats.org/officeDocument/2006/relationships/hyperlink" Target="https://www.courts.go.jp/app/hanrei_en/detail?id=146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urts.go.jp/app/hanrei_en/detail?id=1555" TargetMode="External"/><Relationship Id="rId15" Type="http://schemas.openxmlformats.org/officeDocument/2006/relationships/hyperlink" Target="https://www.courts.go.jp/app/hanrei_en/detail?id=1233" TargetMode="External"/><Relationship Id="rId14" Type="http://schemas.openxmlformats.org/officeDocument/2006/relationships/hyperlink" Target="https://www.courts.go.jp/app/hanrei_en/detail?id=1234" TargetMode="External"/><Relationship Id="rId17" Type="http://schemas.openxmlformats.org/officeDocument/2006/relationships/hyperlink" Target="https://www.courts.go.jp/app/hanrei_en/detail?id=1127" TargetMode="External"/><Relationship Id="rId16" Type="http://schemas.openxmlformats.org/officeDocument/2006/relationships/hyperlink" Target="https://www.courts.go.jp/app/hanrei_en/detail?id=1165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ourts.go.jp/app/hanrei_en/detail?id=1054" TargetMode="External"/><Relationship Id="rId6" Type="http://schemas.openxmlformats.org/officeDocument/2006/relationships/hyperlink" Target="https://www.courts.go.jp/app/hanrei_en/detail?id=1793" TargetMode="External"/><Relationship Id="rId18" Type="http://schemas.openxmlformats.org/officeDocument/2006/relationships/hyperlink" Target="https://www.courts.go.jp/app/hanrei_en/detail?id=1281" TargetMode="External"/><Relationship Id="rId7" Type="http://schemas.openxmlformats.org/officeDocument/2006/relationships/hyperlink" Target="https://www.courts.go.jp/app/hanrei_en/detail?id=1771" TargetMode="External"/><Relationship Id="rId8" Type="http://schemas.openxmlformats.org/officeDocument/2006/relationships/hyperlink" Target="https://www.courts.go.jp/app/hanrei_en/detail?id=157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Medium-regular.ttf"/><Relationship Id="rId2" Type="http://schemas.openxmlformats.org/officeDocument/2006/relationships/font" Target="fonts/EBGaramondMedium-bold.ttf"/><Relationship Id="rId3" Type="http://schemas.openxmlformats.org/officeDocument/2006/relationships/font" Target="fonts/EBGaramondMedium-italic.ttf"/><Relationship Id="rId4" Type="http://schemas.openxmlformats.org/officeDocument/2006/relationships/font" Target="fonts/EBGaramond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